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E22BA" w14:textId="4F5C3EB1" w:rsidR="0016252C" w:rsidRPr="003E7F26" w:rsidRDefault="003E7F26" w:rsidP="003E7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F26">
        <w:rPr>
          <w:rFonts w:ascii="Times New Roman" w:hAnsi="Times New Roman" w:cs="Times New Roman"/>
          <w:b/>
          <w:bCs/>
          <w:sz w:val="28"/>
          <w:szCs w:val="28"/>
        </w:rPr>
        <w:t>В Ульяновском фармацевтическом колледже состоялась заочная межрегиональная конференция педагогических работников</w:t>
      </w:r>
    </w:p>
    <w:p w14:paraId="3DF7E0CF" w14:textId="69783599" w:rsidR="003E7F26" w:rsidRPr="003E7F26" w:rsidRDefault="003E7F26" w:rsidP="003E7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351D6" w14:textId="36213A75" w:rsidR="003E7F26" w:rsidRPr="003E7F26" w:rsidRDefault="003E7F26" w:rsidP="003E7F26">
      <w:pPr>
        <w:spacing w:after="0" w:line="240" w:lineRule="auto"/>
        <w:ind w:left="1" w:right="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7F2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3E7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F26">
        <w:rPr>
          <w:rFonts w:ascii="Times New Roman" w:hAnsi="Times New Roman" w:cs="Times New Roman"/>
          <w:bCs/>
          <w:sz w:val="28"/>
          <w:szCs w:val="28"/>
        </w:rPr>
        <w:t>01 по 30 ноября 2025 года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 Ульяновским фармацевтическим колледжем была организована и проведена</w:t>
      </w:r>
      <w:r w:rsidRPr="003E7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F26">
        <w:rPr>
          <w:rFonts w:ascii="Times New Roman" w:hAnsi="Times New Roman" w:cs="Times New Roman"/>
          <w:sz w:val="28"/>
          <w:szCs w:val="28"/>
        </w:rPr>
        <w:t>Межрегиональная заочная научно-практическая конференция «Ресурсы и эффективные практики наставничества в профессиональной образовательной организации в аспекте повышения престижа и социальной привлекательности профессии преподавателя СПО» (далее – Конференция)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. В ходе проведения </w:t>
      </w:r>
      <w:proofErr w:type="gramStart"/>
      <w:r w:rsidRPr="003E7F26">
        <w:rPr>
          <w:rFonts w:ascii="Times New Roman" w:hAnsi="Times New Roman" w:cs="Times New Roman"/>
          <w:bCs/>
          <w:sz w:val="28"/>
          <w:szCs w:val="28"/>
        </w:rPr>
        <w:t>конференции  достигались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 w:rsidRPr="003E7F2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3E7F26">
        <w:rPr>
          <w:rFonts w:ascii="Times New Roman" w:hAnsi="Times New Roman" w:cs="Times New Roman"/>
          <w:sz w:val="28"/>
          <w:szCs w:val="28"/>
        </w:rPr>
        <w:t>я</w:t>
      </w:r>
      <w:r w:rsidRPr="003E7F26">
        <w:rPr>
          <w:rFonts w:ascii="Times New Roman" w:hAnsi="Times New Roman" w:cs="Times New Roman"/>
          <w:sz w:val="28"/>
          <w:szCs w:val="28"/>
        </w:rPr>
        <w:t xml:space="preserve"> потенциала педагогических работников профессиональных образовательных организаций, поддержки новых технологий в организации наставнической деятельности, создани</w:t>
      </w:r>
      <w:r w:rsidRPr="003E7F26">
        <w:rPr>
          <w:rFonts w:ascii="Times New Roman" w:hAnsi="Times New Roman" w:cs="Times New Roman"/>
          <w:sz w:val="28"/>
          <w:szCs w:val="28"/>
        </w:rPr>
        <w:t>я</w:t>
      </w:r>
      <w:r w:rsidRPr="003E7F26">
        <w:rPr>
          <w:rFonts w:ascii="Times New Roman" w:hAnsi="Times New Roman" w:cs="Times New Roman"/>
          <w:sz w:val="28"/>
          <w:szCs w:val="28"/>
        </w:rPr>
        <w:t xml:space="preserve"> условий для профессионального роста и сотрудничества.</w:t>
      </w:r>
    </w:p>
    <w:p w14:paraId="5C36C64E" w14:textId="20DDEACA" w:rsidR="003E7F26" w:rsidRPr="003E7F26" w:rsidRDefault="003E7F26" w:rsidP="003E7F26">
      <w:pPr>
        <w:tabs>
          <w:tab w:val="left" w:pos="784"/>
        </w:tabs>
        <w:spacing w:after="0" w:line="240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В Конференции 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приняли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активное 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bookmarkStart w:id="0" w:name="_GoBack"/>
      <w:bookmarkEnd w:id="0"/>
      <w:r w:rsidRPr="003E7F26">
        <w:rPr>
          <w:rFonts w:ascii="Times New Roman" w:hAnsi="Times New Roman" w:cs="Times New Roman"/>
          <w:bCs/>
          <w:sz w:val="28"/>
          <w:szCs w:val="28"/>
        </w:rPr>
        <w:t xml:space="preserve">педагогические работники и управленцы Самарской, Ульяновской, Оренбургской, Белгородской, Нижегородской, </w:t>
      </w:r>
      <w:proofErr w:type="gramStart"/>
      <w:r w:rsidRPr="003E7F26">
        <w:rPr>
          <w:rFonts w:ascii="Times New Roman" w:hAnsi="Times New Roman" w:cs="Times New Roman"/>
          <w:bCs/>
          <w:sz w:val="28"/>
          <w:szCs w:val="28"/>
        </w:rPr>
        <w:t>Саратовской  областей</w:t>
      </w:r>
      <w:proofErr w:type="gramEnd"/>
      <w:r w:rsidRPr="003E7F26">
        <w:rPr>
          <w:rFonts w:ascii="Times New Roman" w:hAnsi="Times New Roman" w:cs="Times New Roman"/>
          <w:bCs/>
          <w:sz w:val="28"/>
          <w:szCs w:val="28"/>
        </w:rPr>
        <w:t>,  республик Мордовия, Башкортостан, Татарстан, Удмуртия, Пермского края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. Материалы, представленные участниками </w:t>
      </w:r>
      <w:proofErr w:type="gramStart"/>
      <w:r w:rsidRPr="003E7F26">
        <w:rPr>
          <w:rFonts w:ascii="Times New Roman" w:hAnsi="Times New Roman" w:cs="Times New Roman"/>
          <w:bCs/>
          <w:sz w:val="28"/>
          <w:szCs w:val="28"/>
        </w:rPr>
        <w:t>конференции,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  отражают</w:t>
      </w:r>
      <w:proofErr w:type="gramEnd"/>
      <w:r w:rsidRPr="003E7F26">
        <w:rPr>
          <w:rFonts w:ascii="Times New Roman" w:hAnsi="Times New Roman" w:cs="Times New Roman"/>
          <w:bCs/>
          <w:sz w:val="28"/>
          <w:szCs w:val="28"/>
        </w:rPr>
        <w:t xml:space="preserve"> опыт образовательных учреждений по использованию ресурсов института наставничества при первичной трудовой адаптации начинающих преподавателей,  передаче эффективного педагогического опыта и преодоления профессиональных дефицитов. Одним из интересных направлений </w:t>
      </w:r>
      <w:r w:rsidRPr="003E7F26">
        <w:rPr>
          <w:rFonts w:ascii="Times New Roman" w:hAnsi="Times New Roman" w:cs="Times New Roman"/>
          <w:bCs/>
          <w:sz w:val="28"/>
          <w:szCs w:val="28"/>
        </w:rPr>
        <w:t>К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онференции стало рассмотрение особенностей реализации наставничества в отношении обучаемых образовательных организаций. </w:t>
      </w:r>
      <w:r w:rsidRPr="003E7F26">
        <w:rPr>
          <w:rFonts w:ascii="Times New Roman" w:hAnsi="Times New Roman" w:cs="Times New Roman"/>
          <w:bCs/>
          <w:sz w:val="28"/>
          <w:szCs w:val="28"/>
        </w:rPr>
        <w:t>Направления работы Конференции р</w:t>
      </w:r>
      <w:r w:rsidRPr="003E7F26">
        <w:rPr>
          <w:rFonts w:ascii="Times New Roman" w:hAnsi="Times New Roman" w:cs="Times New Roman"/>
          <w:bCs/>
          <w:sz w:val="28"/>
          <w:szCs w:val="28"/>
        </w:rPr>
        <w:t>аскрыва</w:t>
      </w:r>
      <w:r w:rsidRPr="003E7F26">
        <w:rPr>
          <w:rFonts w:ascii="Times New Roman" w:hAnsi="Times New Roman" w:cs="Times New Roman"/>
          <w:bCs/>
          <w:sz w:val="28"/>
          <w:szCs w:val="28"/>
        </w:rPr>
        <w:t>ют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 комплексный подход к практической реализации модели наставничества с учётом региональных особенностей образовательных учреждений, требований работодателей и вызовов социальной ситуации.</w:t>
      </w:r>
      <w:r w:rsidRPr="003E7F26">
        <w:rPr>
          <w:rFonts w:ascii="Times New Roman" w:hAnsi="Times New Roman" w:cs="Times New Roman"/>
          <w:bCs/>
          <w:sz w:val="28"/>
          <w:szCs w:val="28"/>
        </w:rPr>
        <w:t xml:space="preserve"> По итогам проведения Конференции составлен электронный сборник материалов для работников профессиональных образовательных организаций.</w:t>
      </w:r>
    </w:p>
    <w:p w14:paraId="36E45161" w14:textId="77777777" w:rsidR="003E7F26" w:rsidRDefault="003E7F26" w:rsidP="003E7F26">
      <w:pPr>
        <w:spacing w:line="235" w:lineRule="auto"/>
        <w:ind w:left="1" w:right="20" w:firstLine="566"/>
        <w:jc w:val="both"/>
        <w:rPr>
          <w:sz w:val="26"/>
          <w:szCs w:val="26"/>
        </w:rPr>
      </w:pPr>
    </w:p>
    <w:p w14:paraId="43AD1B9A" w14:textId="4197768E" w:rsidR="003E7F26" w:rsidRDefault="003E7F26"/>
    <w:p w14:paraId="63151EB0" w14:textId="3C47271F" w:rsidR="003E7F26" w:rsidRDefault="003E7F26"/>
    <w:p w14:paraId="10B49A4B" w14:textId="77777777" w:rsidR="003E7F26" w:rsidRDefault="003E7F26"/>
    <w:sectPr w:rsidR="003E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2C"/>
    <w:rsid w:val="0016252C"/>
    <w:rsid w:val="003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1D8F"/>
  <w15:chartTrackingRefBased/>
  <w15:docId w15:val="{86324CCE-F6F5-4455-AD9D-9A062E57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2025-11-18T09:02:00Z</dcterms:created>
  <dcterms:modified xsi:type="dcterms:W3CDTF">2025-11-18T09:11:00Z</dcterms:modified>
</cp:coreProperties>
</file>